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870f3f13edb1fd23fcf07432d3573c37ed463"/>
    <w:p>
      <w:pPr>
        <w:pStyle w:val="Heading3"/>
      </w:pPr>
      <w:r>
        <w:t xml:space="preserve">В центре «Юнион» прошел шахматный турнир для детей и подростков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 центре «Юнион» в минувшие выходные прошел шахматный турнир для детей и подростков «Новогодние игры». Об этом сообщается в Instagram учреждения.</w:t>
      </w:r>
    </w:p>
    <w:p>
      <w:pPr>
        <w:pStyle w:val="BodyText"/>
      </w:pPr>
      <w:r>
        <w:t xml:space="preserve">Участники были разделены на несколько возрастных групп. Турнир проходил по швейцарской системе в соответствии с правилами ФИДЕ. Призеры, определенные по итогам турнира, получили медали и грамоты, и победитель был награжден кубком.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http://novo-peredelkino.mos.ru/presscenter/news/detail/10473116.html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047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047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2024-07-04T19:05:34Z</dcterms:created>
  <dcterms:modified xsi:type="dcterms:W3CDTF">2024-07-04T19:05:34Z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