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7f6007c7c97dd634d76da6a260e473bbb21d5"/>
    <w:p>
      <w:pPr>
        <w:pStyle w:val="Heading3"/>
      </w:pPr>
      <w:r>
        <w:t xml:space="preserve">Распоряжение от 23.03.2022 №25 "Об утверждении положения о порядке уведомления государственными гражданскими служащими в управе района Ново-Переделкино города Москвы о намерении выполнять иную оплачиваемую работу (о выполнении иной оплачиваемой работы)"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http://novo-peredelkino.mos.ru/anti-corruption/plans-papers-reports-reviews-static-information-on-combating-corruption/detail/10718847.html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anti-corruption/plans-papers-reports-reviews-static-information-on-combating-corruption/detail/10718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anti-corruption/plans-papers-reports-reviews-static-information-on-combating-corruption/detail/10718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2025-02-10T00:10:46Z</dcterms:created>
  <dcterms:modified xsi:type="dcterms:W3CDTF">2025-02-10T00:10:46Z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